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675"/>
      </w:tblGrid>
      <w:tr w:rsidR="00ED05A5" w:rsidTr="00FC5547">
        <w:tc>
          <w:tcPr>
            <w:tcW w:w="2976" w:type="dxa"/>
          </w:tcPr>
          <w:p w:rsidR="00ED05A5" w:rsidRDefault="00FC5547" w:rsidP="003C635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bookmarkStart w:id="0" w:name="_GoBack"/>
            <w:bookmarkEnd w:id="0"/>
            <w:r w:rsidRPr="00ED05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Evidenčné číslo osvedčenia:</w:t>
            </w:r>
          </w:p>
        </w:tc>
        <w:tc>
          <w:tcPr>
            <w:tcW w:w="675" w:type="dxa"/>
            <w:tcBorders>
              <w:bottom w:val="dotted" w:sz="12" w:space="0" w:color="auto"/>
            </w:tcBorders>
          </w:tcPr>
          <w:p w:rsidR="00ED05A5" w:rsidRDefault="00ED05A5" w:rsidP="003C635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3C635C" w:rsidRPr="00ED05A5" w:rsidRDefault="003C635C" w:rsidP="003C635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231F20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7782"/>
      </w:tblGrid>
      <w:tr w:rsidR="00ED05A5" w:rsidTr="00FC5547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ED05A5" w:rsidRDefault="00ED05A5" w:rsidP="00FC5547">
            <w:pPr>
              <w:widowControl/>
              <w:autoSpaceDE w:val="0"/>
              <w:autoSpaceDN w:val="0"/>
              <w:adjustRightInd w:val="0"/>
              <w:spacing w:before="300" w:after="20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D05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(Názov a sídlo vzdelávacej inštitúcie)</w:t>
            </w:r>
          </w:p>
        </w:tc>
      </w:tr>
      <w:tr w:rsidR="00FC5547" w:rsidTr="00FC5547"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FC5547" w:rsidRDefault="00FC5547" w:rsidP="00FC554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D05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Dátum a číslo vydania oprávnenia na vykonávanie skúšky na overenie odbornej</w:t>
            </w:r>
          </w:p>
        </w:tc>
      </w:tr>
      <w:tr w:rsidR="00FC5547" w:rsidTr="00FC5547">
        <w:tc>
          <w:tcPr>
            <w:tcW w:w="1430" w:type="dxa"/>
          </w:tcPr>
          <w:p w:rsidR="00FC5547" w:rsidRDefault="00FC5547" w:rsidP="00FC554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D05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spôsobilosti:</w:t>
            </w:r>
          </w:p>
        </w:tc>
        <w:tc>
          <w:tcPr>
            <w:tcW w:w="7782" w:type="dxa"/>
            <w:tcBorders>
              <w:bottom w:val="dotted" w:sz="12" w:space="0" w:color="auto"/>
            </w:tcBorders>
          </w:tcPr>
          <w:p w:rsidR="00FC5547" w:rsidRDefault="00FC5547" w:rsidP="00FC554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3C635C" w:rsidRPr="00ED05A5" w:rsidRDefault="003C635C" w:rsidP="00156C2E">
      <w:pPr>
        <w:widowControl/>
        <w:autoSpaceDE w:val="0"/>
        <w:autoSpaceDN w:val="0"/>
        <w:adjustRightInd w:val="0"/>
        <w:spacing w:before="60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ED05A5">
        <w:rPr>
          <w:rFonts w:ascii="Times New Roman" w:hAnsi="Times New Roman" w:cs="Times New Roman"/>
          <w:color w:val="231F20"/>
          <w:sz w:val="24"/>
          <w:szCs w:val="24"/>
        </w:rPr>
        <w:t>OSVEDČENIE</w:t>
      </w:r>
    </w:p>
    <w:p w:rsidR="003C635C" w:rsidRPr="00ED05A5" w:rsidRDefault="003C635C" w:rsidP="003C635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ED05A5">
        <w:rPr>
          <w:rFonts w:ascii="Times New Roman" w:hAnsi="Times New Roman" w:cs="Times New Roman"/>
          <w:color w:val="231F20"/>
          <w:sz w:val="24"/>
          <w:szCs w:val="24"/>
        </w:rPr>
        <w:t xml:space="preserve">o </w:t>
      </w:r>
      <w:r w:rsidR="009C6E0F">
        <w:rPr>
          <w:rFonts w:ascii="Times New Roman" w:hAnsi="Times New Roman" w:cs="Times New Roman"/>
          <w:color w:val="231F20"/>
          <w:sz w:val="24"/>
          <w:szCs w:val="24"/>
        </w:rPr>
        <w:t>úpln</w:t>
      </w:r>
      <w:r w:rsidRPr="00ED05A5">
        <w:rPr>
          <w:rFonts w:ascii="Times New Roman" w:hAnsi="Times New Roman" w:cs="Times New Roman"/>
          <w:color w:val="231F20"/>
          <w:sz w:val="24"/>
          <w:szCs w:val="24"/>
        </w:rPr>
        <w:t>ej kvalifikácii</w:t>
      </w:r>
    </w:p>
    <w:tbl>
      <w:tblPr>
        <w:tblStyle w:val="Mriekatabu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5528"/>
      </w:tblGrid>
      <w:tr w:rsidR="00ED05A5" w:rsidRPr="00ED05A5" w:rsidTr="00ED05A5">
        <w:trPr>
          <w:trHeight w:val="95"/>
        </w:trPr>
        <w:tc>
          <w:tcPr>
            <w:tcW w:w="2093" w:type="dxa"/>
            <w:vAlign w:val="bottom"/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30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D05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Meno a priezvisko:</w:t>
            </w:r>
          </w:p>
        </w:tc>
        <w:tc>
          <w:tcPr>
            <w:tcW w:w="7229" w:type="dxa"/>
            <w:gridSpan w:val="2"/>
            <w:tcBorders>
              <w:bottom w:val="dotted" w:sz="12" w:space="0" w:color="auto"/>
            </w:tcBorders>
            <w:vAlign w:val="bottom"/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30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D05A5" w:rsidRPr="00ED05A5" w:rsidTr="00ED05A5">
        <w:trPr>
          <w:trHeight w:val="358"/>
        </w:trPr>
        <w:tc>
          <w:tcPr>
            <w:tcW w:w="3794" w:type="dxa"/>
            <w:gridSpan w:val="2"/>
            <w:vAlign w:val="bottom"/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30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D05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Deň, mesiac, rok a miesto narodenia:</w:t>
            </w:r>
          </w:p>
        </w:tc>
        <w:tc>
          <w:tcPr>
            <w:tcW w:w="5528" w:type="dxa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30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3C635C" w:rsidRPr="00ED05A5" w:rsidRDefault="009C6E0F" w:rsidP="009C6E0F">
      <w:pPr>
        <w:widowControl/>
        <w:autoSpaceDE w:val="0"/>
        <w:autoSpaceDN w:val="0"/>
        <w:adjustRightInd w:val="0"/>
        <w:spacing w:before="6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C6E0F">
        <w:rPr>
          <w:rFonts w:ascii="Times New Roman" w:hAnsi="Times New Roman" w:cs="Times New Roman"/>
          <w:color w:val="231F20"/>
          <w:sz w:val="24"/>
          <w:szCs w:val="24"/>
        </w:rPr>
        <w:t>Úspešne vykonal(a) skúšku na overenie odbornej spôsobilosti na získanie úplnej kvalifikácie pod</w:t>
      </w:r>
      <w:r>
        <w:rPr>
          <w:rFonts w:ascii="Times New Roman" w:hAnsi="Times New Roman" w:cs="Times New Roman"/>
          <w:color w:val="231F20"/>
          <w:sz w:val="24"/>
          <w:szCs w:val="24"/>
        </w:rPr>
        <w:t>ľ</w:t>
      </w:r>
      <w:r w:rsidRPr="009C6E0F">
        <w:rPr>
          <w:rFonts w:ascii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C6E0F">
        <w:rPr>
          <w:rFonts w:ascii="Times New Roman" w:hAnsi="Times New Roman" w:cs="Times New Roman" w:hint="eastAsia"/>
          <w:color w:val="231F20"/>
          <w:sz w:val="24"/>
          <w:szCs w:val="24"/>
        </w:rPr>
        <w:t>§</w:t>
      </w:r>
      <w:r w:rsidRPr="009C6E0F">
        <w:rPr>
          <w:rFonts w:ascii="Times New Roman" w:hAnsi="Times New Roman" w:cs="Times New Roman"/>
          <w:color w:val="231F20"/>
          <w:sz w:val="24"/>
          <w:szCs w:val="24"/>
        </w:rPr>
        <w:t xml:space="preserve"> 18 zákona </w:t>
      </w:r>
      <w:r>
        <w:rPr>
          <w:rFonts w:ascii="Times New Roman" w:hAnsi="Times New Roman" w:cs="Times New Roman"/>
          <w:color w:val="231F20"/>
          <w:sz w:val="24"/>
          <w:szCs w:val="24"/>
        </w:rPr>
        <w:t>č</w:t>
      </w:r>
      <w:r w:rsidRPr="009C6E0F">
        <w:rPr>
          <w:rFonts w:ascii="Times New Roman" w:hAnsi="Times New Roman" w:cs="Times New Roman"/>
          <w:color w:val="231F20"/>
          <w:sz w:val="24"/>
          <w:szCs w:val="24"/>
        </w:rPr>
        <w:t>. 568/2009 Z. z. o celoživotnom vzdelávaní a o zmene a doplnení niektorých zákonov.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C6E0F">
        <w:rPr>
          <w:rFonts w:ascii="Times New Roman" w:hAnsi="Times New Roman" w:cs="Times New Roman"/>
          <w:color w:val="231F20"/>
          <w:sz w:val="24"/>
          <w:szCs w:val="24"/>
        </w:rPr>
        <w:t xml:space="preserve">Menovaný(á) je odborne spôsobilý(á) na výkon pracovných </w:t>
      </w:r>
      <w:r>
        <w:rPr>
          <w:rFonts w:ascii="Times New Roman" w:hAnsi="Times New Roman" w:cs="Times New Roman"/>
          <w:color w:val="231F20"/>
          <w:sz w:val="24"/>
          <w:szCs w:val="24"/>
        </w:rPr>
        <w:t>č</w:t>
      </w:r>
      <w:r w:rsidRPr="009C6E0F">
        <w:rPr>
          <w:rFonts w:ascii="Times New Roman" w:hAnsi="Times New Roman" w:cs="Times New Roman"/>
          <w:color w:val="231F20"/>
          <w:sz w:val="24"/>
          <w:szCs w:val="24"/>
        </w:rPr>
        <w:t>inností pre úplnú kvalifikáciu pod</w:t>
      </w:r>
      <w:r>
        <w:rPr>
          <w:rFonts w:ascii="Times New Roman" w:hAnsi="Times New Roman" w:cs="Times New Roman"/>
          <w:color w:val="231F20"/>
          <w:sz w:val="24"/>
          <w:szCs w:val="24"/>
        </w:rPr>
        <w:t>ľ</w:t>
      </w:r>
      <w:r w:rsidRPr="009C6E0F">
        <w:rPr>
          <w:rFonts w:ascii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C6E0F">
        <w:rPr>
          <w:rFonts w:ascii="Times New Roman" w:hAnsi="Times New Roman" w:cs="Times New Roman"/>
          <w:color w:val="231F20"/>
          <w:sz w:val="24"/>
          <w:szCs w:val="24"/>
        </w:rPr>
        <w:t>kvalifika</w:t>
      </w:r>
      <w:r>
        <w:rPr>
          <w:rFonts w:ascii="Times New Roman" w:hAnsi="Times New Roman" w:cs="Times New Roman"/>
          <w:color w:val="231F20"/>
          <w:sz w:val="24"/>
          <w:szCs w:val="24"/>
        </w:rPr>
        <w:t>č</w:t>
      </w:r>
      <w:r w:rsidRPr="009C6E0F">
        <w:rPr>
          <w:rFonts w:ascii="Times New Roman" w:hAnsi="Times New Roman" w:cs="Times New Roman"/>
          <w:color w:val="231F20"/>
          <w:sz w:val="24"/>
          <w:szCs w:val="24"/>
        </w:rPr>
        <w:t>ných a hodnotiacich štandardov definovaných v Národnej sústave kvalifikácií pod</w:t>
      </w:r>
      <w:r>
        <w:rPr>
          <w:rFonts w:ascii="Times New Roman" w:hAnsi="Times New Roman" w:cs="Times New Roman"/>
          <w:color w:val="231F20"/>
          <w:sz w:val="24"/>
          <w:szCs w:val="24"/>
        </w:rPr>
        <w:t>ľ</w:t>
      </w:r>
      <w:r w:rsidRPr="009C6E0F">
        <w:rPr>
          <w:rFonts w:ascii="Times New Roman" w:hAnsi="Times New Roman" w:cs="Times New Roman"/>
          <w:color w:val="231F20"/>
          <w:sz w:val="24"/>
          <w:szCs w:val="24"/>
        </w:rPr>
        <w:t>a § 21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C6E0F">
        <w:rPr>
          <w:rFonts w:ascii="Times New Roman" w:hAnsi="Times New Roman" w:cs="Times New Roman"/>
          <w:color w:val="231F20"/>
          <w:sz w:val="24"/>
          <w:szCs w:val="24"/>
        </w:rPr>
        <w:t xml:space="preserve">zákona </w:t>
      </w:r>
      <w:r>
        <w:rPr>
          <w:rFonts w:ascii="Times New Roman" w:hAnsi="Times New Roman" w:cs="Times New Roman"/>
          <w:color w:val="231F20"/>
          <w:sz w:val="24"/>
          <w:szCs w:val="24"/>
        </w:rPr>
        <w:t>č</w:t>
      </w:r>
      <w:r w:rsidRPr="009C6E0F">
        <w:rPr>
          <w:rFonts w:ascii="Times New Roman" w:hAnsi="Times New Roman" w:cs="Times New Roman"/>
          <w:color w:val="231F20"/>
          <w:sz w:val="24"/>
          <w:szCs w:val="24"/>
        </w:rPr>
        <w:t>. 568/2009 Z. z. o celoživotnom vzdelávaní a o zmene a doplnení niektorých zákonov:</w:t>
      </w:r>
    </w:p>
    <w:tbl>
      <w:tblPr>
        <w:tblStyle w:val="Mriekatabu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ED05A5" w:rsidRPr="00ED05A5" w:rsidTr="00ED05A5">
        <w:tc>
          <w:tcPr>
            <w:tcW w:w="2235" w:type="dxa"/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480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ED05A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Názov kvalifikácie:</w:t>
            </w:r>
          </w:p>
        </w:tc>
        <w:tc>
          <w:tcPr>
            <w:tcW w:w="7087" w:type="dxa"/>
            <w:tcBorders>
              <w:bottom w:val="dotted" w:sz="12" w:space="0" w:color="auto"/>
            </w:tcBorders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48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D05A5" w:rsidRPr="00ED05A5" w:rsidTr="00ED05A5">
        <w:tc>
          <w:tcPr>
            <w:tcW w:w="2235" w:type="dxa"/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480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ED05A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Kód kvalifikácie:</w:t>
            </w:r>
          </w:p>
        </w:tc>
        <w:tc>
          <w:tcPr>
            <w:tcW w:w="7087" w:type="dxa"/>
            <w:tcBorders>
              <w:top w:val="dotted" w:sz="12" w:space="0" w:color="auto"/>
              <w:bottom w:val="dotted" w:sz="12" w:space="0" w:color="auto"/>
            </w:tcBorders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48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3C635C" w:rsidRPr="00ED05A5" w:rsidRDefault="000C3F32" w:rsidP="000C3F32">
      <w:pPr>
        <w:widowControl/>
        <w:autoSpaceDE w:val="0"/>
        <w:autoSpaceDN w:val="0"/>
        <w:adjustRightInd w:val="0"/>
        <w:spacing w:before="6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32">
        <w:rPr>
          <w:rFonts w:ascii="Times New Roman" w:hAnsi="Times New Roman" w:cs="Times New Roman"/>
          <w:color w:val="231F20"/>
          <w:sz w:val="24"/>
          <w:szCs w:val="24"/>
        </w:rPr>
        <w:t>Osved</w:t>
      </w:r>
      <w:r>
        <w:rPr>
          <w:rFonts w:ascii="Times New Roman" w:hAnsi="Times New Roman" w:cs="Times New Roman"/>
          <w:color w:val="231F20"/>
          <w:sz w:val="24"/>
          <w:szCs w:val="24"/>
        </w:rPr>
        <w:t>č</w:t>
      </w:r>
      <w:r w:rsidRPr="000C3F32">
        <w:rPr>
          <w:rFonts w:ascii="Times New Roman" w:hAnsi="Times New Roman" w:cs="Times New Roman"/>
          <w:color w:val="231F20"/>
          <w:sz w:val="24"/>
          <w:szCs w:val="24"/>
        </w:rPr>
        <w:t>enie o úplnej kvalifikácii vydané pod</w:t>
      </w:r>
      <w:r>
        <w:rPr>
          <w:rFonts w:ascii="Times New Roman" w:hAnsi="Times New Roman" w:cs="Times New Roman"/>
          <w:color w:val="231F20"/>
          <w:sz w:val="24"/>
          <w:szCs w:val="24"/>
        </w:rPr>
        <w:t>ľ</w:t>
      </w:r>
      <w:r w:rsidRPr="000C3F32">
        <w:rPr>
          <w:rFonts w:ascii="Times New Roman" w:hAnsi="Times New Roman" w:cs="Times New Roman"/>
          <w:color w:val="231F20"/>
          <w:sz w:val="24"/>
          <w:szCs w:val="24"/>
        </w:rPr>
        <w:t xml:space="preserve">a § 19 ods. 1 zákona </w:t>
      </w:r>
      <w:r>
        <w:rPr>
          <w:rFonts w:ascii="Times New Roman" w:hAnsi="Times New Roman" w:cs="Times New Roman"/>
          <w:color w:val="231F20"/>
          <w:sz w:val="24"/>
          <w:szCs w:val="24"/>
        </w:rPr>
        <w:t>č</w:t>
      </w:r>
      <w:r w:rsidRPr="000C3F32">
        <w:rPr>
          <w:rFonts w:ascii="Times New Roman" w:hAnsi="Times New Roman" w:cs="Times New Roman"/>
          <w:color w:val="231F20"/>
          <w:sz w:val="24"/>
          <w:szCs w:val="24"/>
        </w:rPr>
        <w:t>. 568/2009 Z. z. o</w:t>
      </w:r>
      <w:r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0C3F32">
        <w:rPr>
          <w:rFonts w:ascii="Times New Roman" w:hAnsi="Times New Roman" w:cs="Times New Roman"/>
          <w:color w:val="231F20"/>
          <w:sz w:val="24"/>
          <w:szCs w:val="24"/>
        </w:rPr>
        <w:t>celoživotnom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32">
        <w:rPr>
          <w:rFonts w:ascii="Times New Roman" w:hAnsi="Times New Roman" w:cs="Times New Roman"/>
          <w:color w:val="231F20"/>
          <w:sz w:val="24"/>
          <w:szCs w:val="24"/>
        </w:rPr>
        <w:t>vzdelávaní a o zmene a doplnení niektorých zákonov.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1310"/>
        <w:gridCol w:w="625"/>
        <w:gridCol w:w="876"/>
        <w:gridCol w:w="531"/>
        <w:gridCol w:w="456"/>
      </w:tblGrid>
      <w:tr w:rsidR="00ED05A5" w:rsidRPr="00ED05A5" w:rsidTr="00ED05A5">
        <w:tc>
          <w:tcPr>
            <w:tcW w:w="473" w:type="dxa"/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48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D05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V</w:t>
            </w:r>
          </w:p>
        </w:tc>
        <w:tc>
          <w:tcPr>
            <w:tcW w:w="1310" w:type="dxa"/>
            <w:tcBorders>
              <w:bottom w:val="dotted" w:sz="12" w:space="0" w:color="auto"/>
            </w:tcBorders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48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625" w:type="dxa"/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48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D05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dňa</w:t>
            </w:r>
          </w:p>
        </w:tc>
        <w:tc>
          <w:tcPr>
            <w:tcW w:w="876" w:type="dxa"/>
            <w:tcBorders>
              <w:bottom w:val="dotted" w:sz="12" w:space="0" w:color="auto"/>
            </w:tcBorders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48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31" w:type="dxa"/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48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D05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bottom w:val="dotted" w:sz="12" w:space="0" w:color="auto"/>
            </w:tcBorders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48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ED05A5" w:rsidRPr="00ED05A5" w:rsidRDefault="00ED05A5" w:rsidP="00ED05A5">
      <w:pPr>
        <w:widowControl/>
        <w:autoSpaceDE w:val="0"/>
        <w:autoSpaceDN w:val="0"/>
        <w:adjustRightInd w:val="0"/>
        <w:spacing w:before="600"/>
        <w:rPr>
          <w:rFonts w:ascii="Times New Roman" w:hAnsi="Times New Roman" w:cs="Times New Roman"/>
          <w:color w:val="231F20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D05A5" w:rsidRPr="00ED05A5" w:rsidTr="00ED05A5">
        <w:tc>
          <w:tcPr>
            <w:tcW w:w="3070" w:type="dxa"/>
            <w:tcBorders>
              <w:bottom w:val="dotted" w:sz="12" w:space="0" w:color="auto"/>
            </w:tcBorders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60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071" w:type="dxa"/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60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dotted" w:sz="12" w:space="0" w:color="auto"/>
            </w:tcBorders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60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D05A5" w:rsidRPr="00ED05A5" w:rsidTr="00ED05A5">
        <w:tc>
          <w:tcPr>
            <w:tcW w:w="3070" w:type="dxa"/>
            <w:tcBorders>
              <w:top w:val="dotted" w:sz="12" w:space="0" w:color="auto"/>
            </w:tcBorders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D05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Meno, priezvisko a podpis predsedu skúšobnej komisie</w:t>
            </w:r>
          </w:p>
        </w:tc>
        <w:tc>
          <w:tcPr>
            <w:tcW w:w="3071" w:type="dxa"/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60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otted" w:sz="12" w:space="0" w:color="auto"/>
            </w:tcBorders>
          </w:tcPr>
          <w:p w:rsidR="00ED05A5" w:rsidRPr="00ED05A5" w:rsidRDefault="00ED05A5" w:rsidP="00ED05A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D05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Meno, priezvisko a podpis štatutárneho orgánu oprávnenej vzdelávacej inštitúcie</w:t>
            </w:r>
          </w:p>
        </w:tc>
      </w:tr>
    </w:tbl>
    <w:p w:rsidR="00ED05A5" w:rsidRPr="00ED05A5" w:rsidRDefault="00ED05A5" w:rsidP="00156C2E">
      <w:pPr>
        <w:widowControl/>
        <w:autoSpaceDE w:val="0"/>
        <w:autoSpaceDN w:val="0"/>
        <w:adjustRightInd w:val="0"/>
        <w:spacing w:before="600"/>
        <w:rPr>
          <w:sz w:val="24"/>
          <w:szCs w:val="24"/>
        </w:rPr>
      </w:pPr>
    </w:p>
    <w:sectPr w:rsidR="00ED05A5" w:rsidRPr="00ED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5C"/>
    <w:rsid w:val="000C3F32"/>
    <w:rsid w:val="00156C2E"/>
    <w:rsid w:val="003C635C"/>
    <w:rsid w:val="00481B1D"/>
    <w:rsid w:val="00524EA2"/>
    <w:rsid w:val="006F2918"/>
    <w:rsid w:val="009C6E0F"/>
    <w:rsid w:val="00B07EF7"/>
    <w:rsid w:val="00DF7F08"/>
    <w:rsid w:val="00ED05A5"/>
    <w:rsid w:val="00FC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B07EF7"/>
  </w:style>
  <w:style w:type="paragraph" w:styleId="Nadpis1">
    <w:name w:val="heading 1"/>
    <w:basedOn w:val="Normlny"/>
    <w:link w:val="Nadpis1Char"/>
    <w:uiPriority w:val="1"/>
    <w:qFormat/>
    <w:rsid w:val="00B07EF7"/>
    <w:pPr>
      <w:spacing w:before="15"/>
      <w:ind w:left="21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B07EF7"/>
    <w:pPr>
      <w:spacing w:before="69"/>
      <w:ind w:left="11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3">
    <w:name w:val="heading 3"/>
    <w:basedOn w:val="Normlny"/>
    <w:link w:val="Nadpis3Char"/>
    <w:uiPriority w:val="1"/>
    <w:qFormat/>
    <w:rsid w:val="00B07EF7"/>
    <w:pPr>
      <w:ind w:left="117"/>
      <w:outlineLvl w:val="2"/>
    </w:pPr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B07EF7"/>
    <w:pPr>
      <w:spacing w:before="56"/>
      <w:ind w:left="117"/>
      <w:outlineLvl w:val="3"/>
    </w:pPr>
    <w:rPr>
      <w:rFonts w:ascii="Times New Roman" w:eastAsia="Times New Roman" w:hAnsi="Times New Roman"/>
      <w:i/>
      <w:sz w:val="24"/>
      <w:szCs w:val="24"/>
    </w:rPr>
  </w:style>
  <w:style w:type="paragraph" w:styleId="Nadpis5">
    <w:name w:val="heading 5"/>
    <w:basedOn w:val="Normlny"/>
    <w:link w:val="Nadpis5Char"/>
    <w:uiPriority w:val="1"/>
    <w:qFormat/>
    <w:rsid w:val="00B07EF7"/>
    <w:pPr>
      <w:ind w:left="543" w:hanging="426"/>
      <w:outlineLvl w:val="4"/>
    </w:pPr>
    <w:rPr>
      <w:rFonts w:ascii="Times New Roman" w:eastAsia="Times New Roman" w:hAnsi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B07EF7"/>
  </w:style>
  <w:style w:type="character" w:customStyle="1" w:styleId="Nadpis1Char">
    <w:name w:val="Nadpis 1 Char"/>
    <w:basedOn w:val="Predvolenpsmoodseku"/>
    <w:link w:val="Nadpis1"/>
    <w:uiPriority w:val="1"/>
    <w:rsid w:val="00B07EF7"/>
    <w:rPr>
      <w:rFonts w:ascii="Calibri" w:eastAsia="Calibri" w:hAnsi="Calibri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1"/>
    <w:rsid w:val="00B07EF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1"/>
    <w:rsid w:val="00B07EF7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1"/>
    <w:rsid w:val="00B07EF7"/>
    <w:rPr>
      <w:rFonts w:ascii="Times New Roman" w:eastAsia="Times New Roman" w:hAnsi="Times New Roman"/>
      <w:i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1"/>
    <w:rsid w:val="00B07EF7"/>
    <w:rPr>
      <w:rFonts w:ascii="Times New Roman" w:eastAsia="Times New Roman" w:hAnsi="Times New Roman"/>
      <w:b/>
      <w:bCs/>
    </w:rPr>
  </w:style>
  <w:style w:type="paragraph" w:styleId="Zkladntext">
    <w:name w:val="Body Text"/>
    <w:basedOn w:val="Normlny"/>
    <w:link w:val="ZkladntextChar"/>
    <w:uiPriority w:val="1"/>
    <w:qFormat/>
    <w:rsid w:val="00B07EF7"/>
    <w:pPr>
      <w:ind w:left="117"/>
    </w:pPr>
    <w:rPr>
      <w:rFonts w:ascii="Times New Roman" w:eastAsia="Times New Roman" w:hAnsi="Times New Roman"/>
    </w:rPr>
  </w:style>
  <w:style w:type="character" w:customStyle="1" w:styleId="ZkladntextChar">
    <w:name w:val="Základný text Char"/>
    <w:basedOn w:val="Predvolenpsmoodseku"/>
    <w:link w:val="Zkladntext"/>
    <w:uiPriority w:val="1"/>
    <w:rsid w:val="00B07EF7"/>
    <w:rPr>
      <w:rFonts w:ascii="Times New Roman" w:eastAsia="Times New Roman" w:hAnsi="Times New Roman"/>
    </w:rPr>
  </w:style>
  <w:style w:type="paragraph" w:styleId="Odsekzoznamu">
    <w:name w:val="List Paragraph"/>
    <w:basedOn w:val="Normlny"/>
    <w:uiPriority w:val="1"/>
    <w:qFormat/>
    <w:rsid w:val="00B07EF7"/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07EF7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sk-SK"/>
    </w:rPr>
  </w:style>
  <w:style w:type="table" w:styleId="Mriekatabuky">
    <w:name w:val="Table Grid"/>
    <w:basedOn w:val="Normlnatabuka"/>
    <w:uiPriority w:val="59"/>
    <w:rsid w:val="003C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B07EF7"/>
  </w:style>
  <w:style w:type="paragraph" w:styleId="Nadpis1">
    <w:name w:val="heading 1"/>
    <w:basedOn w:val="Normlny"/>
    <w:link w:val="Nadpis1Char"/>
    <w:uiPriority w:val="1"/>
    <w:qFormat/>
    <w:rsid w:val="00B07EF7"/>
    <w:pPr>
      <w:spacing w:before="15"/>
      <w:ind w:left="21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B07EF7"/>
    <w:pPr>
      <w:spacing w:before="69"/>
      <w:ind w:left="11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3">
    <w:name w:val="heading 3"/>
    <w:basedOn w:val="Normlny"/>
    <w:link w:val="Nadpis3Char"/>
    <w:uiPriority w:val="1"/>
    <w:qFormat/>
    <w:rsid w:val="00B07EF7"/>
    <w:pPr>
      <w:ind w:left="117"/>
      <w:outlineLvl w:val="2"/>
    </w:pPr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B07EF7"/>
    <w:pPr>
      <w:spacing w:before="56"/>
      <w:ind w:left="117"/>
      <w:outlineLvl w:val="3"/>
    </w:pPr>
    <w:rPr>
      <w:rFonts w:ascii="Times New Roman" w:eastAsia="Times New Roman" w:hAnsi="Times New Roman"/>
      <w:i/>
      <w:sz w:val="24"/>
      <w:szCs w:val="24"/>
    </w:rPr>
  </w:style>
  <w:style w:type="paragraph" w:styleId="Nadpis5">
    <w:name w:val="heading 5"/>
    <w:basedOn w:val="Normlny"/>
    <w:link w:val="Nadpis5Char"/>
    <w:uiPriority w:val="1"/>
    <w:qFormat/>
    <w:rsid w:val="00B07EF7"/>
    <w:pPr>
      <w:ind w:left="543" w:hanging="426"/>
      <w:outlineLvl w:val="4"/>
    </w:pPr>
    <w:rPr>
      <w:rFonts w:ascii="Times New Roman" w:eastAsia="Times New Roman" w:hAnsi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B07EF7"/>
  </w:style>
  <w:style w:type="character" w:customStyle="1" w:styleId="Nadpis1Char">
    <w:name w:val="Nadpis 1 Char"/>
    <w:basedOn w:val="Predvolenpsmoodseku"/>
    <w:link w:val="Nadpis1"/>
    <w:uiPriority w:val="1"/>
    <w:rsid w:val="00B07EF7"/>
    <w:rPr>
      <w:rFonts w:ascii="Calibri" w:eastAsia="Calibri" w:hAnsi="Calibri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1"/>
    <w:rsid w:val="00B07EF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1"/>
    <w:rsid w:val="00B07EF7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1"/>
    <w:rsid w:val="00B07EF7"/>
    <w:rPr>
      <w:rFonts w:ascii="Times New Roman" w:eastAsia="Times New Roman" w:hAnsi="Times New Roman"/>
      <w:i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1"/>
    <w:rsid w:val="00B07EF7"/>
    <w:rPr>
      <w:rFonts w:ascii="Times New Roman" w:eastAsia="Times New Roman" w:hAnsi="Times New Roman"/>
      <w:b/>
      <w:bCs/>
    </w:rPr>
  </w:style>
  <w:style w:type="paragraph" w:styleId="Zkladntext">
    <w:name w:val="Body Text"/>
    <w:basedOn w:val="Normlny"/>
    <w:link w:val="ZkladntextChar"/>
    <w:uiPriority w:val="1"/>
    <w:qFormat/>
    <w:rsid w:val="00B07EF7"/>
    <w:pPr>
      <w:ind w:left="117"/>
    </w:pPr>
    <w:rPr>
      <w:rFonts w:ascii="Times New Roman" w:eastAsia="Times New Roman" w:hAnsi="Times New Roman"/>
    </w:rPr>
  </w:style>
  <w:style w:type="character" w:customStyle="1" w:styleId="ZkladntextChar">
    <w:name w:val="Základný text Char"/>
    <w:basedOn w:val="Predvolenpsmoodseku"/>
    <w:link w:val="Zkladntext"/>
    <w:uiPriority w:val="1"/>
    <w:rsid w:val="00B07EF7"/>
    <w:rPr>
      <w:rFonts w:ascii="Times New Roman" w:eastAsia="Times New Roman" w:hAnsi="Times New Roman"/>
    </w:rPr>
  </w:style>
  <w:style w:type="paragraph" w:styleId="Odsekzoznamu">
    <w:name w:val="List Paragraph"/>
    <w:basedOn w:val="Normlny"/>
    <w:uiPriority w:val="1"/>
    <w:qFormat/>
    <w:rsid w:val="00B07EF7"/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07EF7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sk-SK"/>
    </w:rPr>
  </w:style>
  <w:style w:type="table" w:styleId="Mriekatabuky">
    <w:name w:val="Table Grid"/>
    <w:basedOn w:val="Normlnatabuka"/>
    <w:uiPriority w:val="59"/>
    <w:rsid w:val="003C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Odbor celoživotného vzdelávania MŠVVaŠ SR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Osvedčenie o úplnej kvalifikácii - vzor na stiahnutie</dc:title>
  <dc:subject>Zákon č. 568/2009 Z.z. </dc:subject>
  <dc:creator>Odbor celoživotného vzdelávania MŠVVaŠ SR</dc:creator>
  <cp:keywords>Odbor celoživotného vzdelávania MŠVVaŠ SR</cp:keywords>
  <dc:description>Osvedčenie o úplnej kvalifikácii</dc:description>
  <cp:lastModifiedBy>Hlinka Vladimír</cp:lastModifiedBy>
  <cp:revision>5</cp:revision>
  <cp:lastPrinted>2015-02-06T15:09:00Z</cp:lastPrinted>
  <dcterms:created xsi:type="dcterms:W3CDTF">2015-02-06T15:09:00Z</dcterms:created>
  <dcterms:modified xsi:type="dcterms:W3CDTF">2015-02-06T15:16:00Z</dcterms:modified>
</cp:coreProperties>
</file>